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p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 xml:space="preserve"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>
      <w:pPr>
        <w:rPr/>
      </w:pPr>
    </w:p>
    <w:p>
      <w:pPr>
        <w:pStyle w:val="NoSpacing"/>
        <w:jc w:val="center"/>
        <w:rPr>
          <w:b/>
          <w:sz w:val="28"/>
          <w:szCs w:val="28"/>
          <w:lang w:val="kk-KZ"/>
        </w:rPr>
      </w:pPr>
    </w:p>
    <w:p>
      <w:pPr>
        <w:pStyle w:val="NoSpacing"/>
        <w:jc w:val="center"/>
        <w:rPr>
          <w:b/>
          <w:sz w:val="28"/>
          <w:szCs w:val="28"/>
          <w:lang w:val="kk-KZ"/>
        </w:rPr>
      </w:pPr>
      <w:r w:rsidRPr="00DE4FB0">
        <w:rPr>
          <w:b/>
          <w:sz w:val="28"/>
          <w:szCs w:val="28"/>
          <w:lang w:val="kk-KZ"/>
        </w:rPr>
        <w:t xml:space="preserve">О внесении изменений в приказ Председателя Комитета по статистике Министерства национальной экономики Республики Казахстан от </w:t>
      </w:r>
      <w:r>
        <w:rPr>
          <w:b/>
          <w:sz w:val="28"/>
          <w:szCs w:val="28"/>
          <w:lang w:val="kk-KZ"/>
        </w:rPr>
        <w:br/>
      </w:r>
      <w:r w:rsidRPr="00DE4FB0">
        <w:rPr>
          <w:b/>
          <w:sz w:val="28"/>
          <w:szCs w:val="28"/>
          <w:lang w:val="kk-KZ"/>
        </w:rPr>
        <w:t xml:space="preserve">21 сентября 2017 года № 134 «Об утверждении Методики расчета</w:t>
      </w:r>
    </w:p>
    <w:p>
      <w:pPr>
        <w:pStyle w:val="Title"/>
        <w:suppressAutoHyphens/>
        <w:rPr>
          <w:szCs w:val="28"/>
          <w:lang w:val="kk-KZ"/>
        </w:rPr>
      </w:pPr>
      <w:r w:rsidRPr="00DE4FB0">
        <w:rPr>
          <w:b/>
          <w:szCs w:val="28"/>
          <w:lang w:val="kk-KZ"/>
        </w:rPr>
        <w:t xml:space="preserve">показателей численности и структуры населения»</w:t>
      </w:r>
    </w:p>
    <w:p>
      <w:pPr>
        <w:jc w:val="center"/>
        <w:rPr>
          <w:sz w:val="28"/>
          <w:szCs w:val="28"/>
          <w:lang w:val="kk-KZ"/>
        </w:rPr>
      </w:pPr>
    </w:p>
    <w:p>
      <w:pPr>
        <w:jc w:val="center"/>
        <w:rPr>
          <w:sz w:val="28"/>
          <w:szCs w:val="28"/>
          <w:lang w:val="kk-KZ"/>
        </w:rPr>
      </w:pPr>
    </w:p>
    <w:p>
      <w:pPr>
        <w:tabs>
          <w:tab w:pos="709" w:val="left"/>
        </w:tabs>
        <w:jc w:val="both"/>
        <w:rPr>
          <w:b/>
          <w:sz w:val="28"/>
          <w:szCs w:val="28"/>
        </w:rPr>
      </w:pPr>
      <w:r w:rsidRPr="00DE4FB0">
        <w:rPr>
          <w:b/>
          <w:sz w:val="28"/>
          <w:szCs w:val="28"/>
        </w:rPr>
        <w:tab/>
      </w:r>
      <w:r w:rsidRPr="00DE4FB0">
        <w:rPr>
          <w:b/>
          <w:sz w:val="28"/>
          <w:szCs w:val="28"/>
        </w:rPr>
        <w:t xml:space="preserve">ПРИКАЗЫВАЮ:</w:t>
      </w:r>
    </w:p>
    <w:p>
      <w:pPr>
        <w:pStyle w:val="NoSpacing"/>
        <w:ind w:firstLine="708"/>
        <w:jc w:val="both"/>
        <w:rPr>
          <w:sz w:val="28"/>
          <w:szCs w:val="28"/>
        </w:rPr>
      </w:pPr>
      <w:r w:rsidRPr="00DE4FB0">
        <w:rPr>
          <w:sz w:val="28"/>
          <w:szCs w:val="28"/>
        </w:rPr>
        <w:t xml:space="preserve">1. Внести в </w:t>
      </w:r>
      <w:hyperlink r:id="rId5" w:anchor="z1" w:history="true">
        <w:r w:rsidRPr="00DE4FB0">
          <w:rPr>
            <w:sz w:val="28"/>
            <w:szCs w:val="28"/>
          </w:rPr>
          <w:t xml:space="preserve">приказ</w:t>
        </w:r>
      </w:hyperlink>
      <w:r w:rsidRPr="00DE4FB0">
        <w:rPr>
          <w:sz w:val="28"/>
          <w:szCs w:val="28"/>
        </w:rPr>
        <w:t xml:space="preserve"> Председателя Комитета по статистике Министерства национальной экономики Республики Казахстан от 21 сентября 2017 года</w:t>
      </w:r>
      <w:r>
        <w:rPr>
          <w:sz w:val="28"/>
          <w:szCs w:val="28"/>
        </w:rPr>
        <w:br/>
      </w:r>
      <w:r w:rsidRPr="00DE4FB0">
        <w:rPr>
          <w:sz w:val="28"/>
          <w:szCs w:val="28"/>
        </w:rPr>
        <w:t xml:space="preserve">№ 134 «Об утверждении Методики расчета показателей численности и структуры населения» (зарегистрирован в Реестре государственной регистрации нормативных правовых актов за № 15860) следующие изменения:</w:t>
      </w:r>
    </w:p>
    <w:p>
      <w:pPr>
        <w:ind w:firstLine="708"/>
        <w:jc w:val="both"/>
        <w:rPr>
          <w:sz w:val="28"/>
          <w:szCs w:val="28"/>
        </w:rPr>
      </w:pPr>
      <w:r w:rsidRPr="00DE4FB0">
        <w:rPr>
          <w:sz w:val="28"/>
          <w:szCs w:val="28"/>
        </w:rPr>
        <w:t xml:space="preserve">преамбулу указанного приказа изложить в следующей редакции:</w:t>
      </w:r>
    </w:p>
    <w:p>
      <w:pPr>
        <w:ind w:firstLine="708"/>
        <w:jc w:val="both"/>
        <w:rPr>
          <w:sz w:val="28"/>
          <w:szCs w:val="28"/>
        </w:rPr>
      </w:pPr>
      <w:bookmarkStart w:name="z7" w:id="0"/>
      <w:r w:rsidRPr="00DE4FB0">
        <w:rPr>
          <w:sz w:val="28"/>
          <w:szCs w:val="28"/>
        </w:rPr>
        <w:t xml:space="preserve">«В соответствии с подпунктом 5) статьи 12 Закона Республики Казахстан «О государственной статистике», с подпунктом 34) пун</w:t>
      </w:r>
      <w:r w:rsidR="00F306EB">
        <w:rPr>
          <w:sz w:val="28"/>
          <w:szCs w:val="28"/>
        </w:rPr>
        <w:t xml:space="preserve">кта 15 Положения об Агентстве </w:t>
      </w:r>
      <w:r w:rsidRPr="00DE4FB0">
        <w:rPr>
          <w:sz w:val="28"/>
          <w:szCs w:val="28"/>
        </w:rPr>
        <w:t xml:space="preserve">по стратегическому планированию и реформам Республики Казахстан, утвержденного Указом Президента Республики Казахстан от</w:t>
      </w:r>
      <w:r>
        <w:rPr>
          <w:sz w:val="28"/>
          <w:szCs w:val="28"/>
        </w:rPr>
        <w:br/>
      </w:r>
      <w:r w:rsidRPr="00DE4FB0">
        <w:rPr>
          <w:sz w:val="28"/>
          <w:szCs w:val="28"/>
        </w:rPr>
        <w:t xml:space="preserve">5 октября 2020 года № 427 и с подпунктом 20) пункта 15 Положения о Бюро национальной статистики Агентства по стратегическому планированию и реформам Республики Казахстан, утвержденного приказом</w:t>
      </w:r>
      <w:r w:rsidRPr="00DE4FB0">
        <w:rPr>
          <w:sz w:val="28"/>
          <w:szCs w:val="28"/>
        </w:rPr>
        <w:t xml:space="preserve"> Председателя Агентства по стратегическому планированию и реформам Республики Казахстан от 23 октября 2020 года № 9-нқ, </w:t>
      </w:r>
      <w:r w:rsidRPr="00DE4FB0">
        <w:rPr>
          <w:b/>
          <w:sz w:val="28"/>
          <w:szCs w:val="28"/>
        </w:rPr>
        <w:t xml:space="preserve">ПРИКАЗЫВАЮ</w:t>
      </w:r>
      <w:r w:rsidRPr="00DE4FB0">
        <w:rPr>
          <w:b/>
          <w:sz w:val="28"/>
          <w:szCs w:val="28"/>
        </w:rPr>
        <w:t xml:space="preserve">:</w:t>
      </w:r>
      <w:r w:rsidRPr="00DE4FB0">
        <w:rPr>
          <w:sz w:val="28"/>
          <w:szCs w:val="28"/>
        </w:rPr>
        <w:t xml:space="preserve">»</w:t>
      </w:r>
      <w:r w:rsidRPr="00DE4FB0">
        <w:rPr>
          <w:sz w:val="28"/>
          <w:szCs w:val="28"/>
        </w:rPr>
        <w:t xml:space="preserve">;</w:t>
      </w:r>
      <w:bookmarkEnd w:id="0"/>
    </w:p>
    <w:p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в</w:t>
      </w:r>
      <w:r w:rsidRPr="00DE4FB0">
        <w:rPr>
          <w:sz w:val="28"/>
          <w:szCs w:val="28"/>
        </w:rPr>
        <w:t xml:space="preserve"> Методике</w:t>
      </w:r>
      <w:r w:rsidRPr="00DE4FB0">
        <w:rPr>
          <w:color w:val="000000"/>
          <w:sz w:val="28"/>
          <w:szCs w:val="28"/>
        </w:rPr>
        <w:t xml:space="preserve"> расчета показателей </w:t>
      </w:r>
      <w:r w:rsidRPr="00DE4FB0">
        <w:rPr>
          <w:sz w:val="28"/>
          <w:szCs w:val="28"/>
        </w:rPr>
        <w:t xml:space="preserve">численности и структуры населения</w:t>
      </w:r>
      <w:r w:rsidRPr="00DE4FB0">
        <w:rPr>
          <w:color w:val="000000"/>
          <w:sz w:val="28"/>
          <w:szCs w:val="28"/>
        </w:rPr>
        <w:t xml:space="preserve">, утвержденной указанным </w:t>
      </w:r>
      <w:r w:rsidRPr="00DE4FB0">
        <w:rPr>
          <w:sz w:val="28"/>
          <w:szCs w:val="28"/>
          <w:lang w:val="kk-KZ"/>
        </w:rPr>
        <w:t xml:space="preserve">приказом: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DE4FB0">
        <w:rPr>
          <w:sz w:val="28"/>
          <w:szCs w:val="28"/>
          <w:lang w:val="kk-KZ"/>
        </w:rPr>
        <w:t xml:space="preserve">пункт 1 изложить в следующей редакции: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DE4FB0">
        <w:rPr>
          <w:sz w:val="28"/>
          <w:szCs w:val="28"/>
          <w:lang w:val="kk-KZ"/>
        </w:rPr>
        <w:t xml:space="preserve">«1. Методика расчета показателей численности и структуры населения (далее – Методика) относится к статистической методологии, формируемой в соответствии с международными стандартами и утверждаемой в соответствии с Законом Республики Казахстан «О государственной статистике.»</w:t>
      </w:r>
      <w:r w:rsidR="00F306EB">
        <w:rPr>
          <w:sz w:val="28"/>
          <w:szCs w:val="28"/>
          <w:lang w:val="kk-KZ"/>
        </w:rPr>
        <w:t xml:space="preserve">;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DE4FB0">
        <w:rPr>
          <w:sz w:val="28"/>
          <w:szCs w:val="28"/>
          <w:lang w:val="kk-KZ"/>
        </w:rPr>
        <w:t xml:space="preserve">пункт 3 изложить в следующей редакции: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DE4FB0">
        <w:rPr>
          <w:sz w:val="28"/>
          <w:szCs w:val="28"/>
          <w:lang w:val="kk-KZ"/>
        </w:rPr>
        <w:t xml:space="preserve">«3. Настоящая Методика применяется сотрудниками Бюро национальной статистики Агентства по стратегическому планированию и реформам </w:t>
      </w:r>
      <w:r w:rsidRPr="00DE4FB0">
        <w:rPr>
          <w:sz w:val="28"/>
          <w:szCs w:val="28"/>
          <w:lang w:val="kk-KZ"/>
        </w:rPr>
        <w:t xml:space="preserve">Республики Казахстан и его территориальными подразделениями при расчете показателей численности и структуры населения.»;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DE4FB0">
        <w:rPr>
          <w:sz w:val="28"/>
          <w:szCs w:val="28"/>
          <w:lang w:val="kk-KZ"/>
        </w:rPr>
        <w:t xml:space="preserve">пункт 19 изложить в следующей редакции:</w:t>
      </w:r>
    </w:p>
    <w:p>
      <w:pPr>
        <w:suppressAutoHyphens/>
        <w:ind w:firstLine="708"/>
        <w:jc w:val="both"/>
        <w:rPr>
          <w:sz w:val="28"/>
          <w:szCs w:val="28"/>
          <w:lang w:val="kk-KZ"/>
        </w:rPr>
      </w:pPr>
      <w:bookmarkStart w:name="_GoBack" w:id="1"/>
      <w:bookmarkEnd w:id="1"/>
      <w:r w:rsidRPr="00BE189C">
        <w:rPr>
          <w:sz w:val="28"/>
          <w:szCs w:val="28"/>
          <w:lang w:val="kk-KZ"/>
        </w:rPr>
        <w:t xml:space="preserve">«19. Коэффициенты демографической нагрузки характеризуют соотношение численности детей и лиц пенсионного возраста на 1000 человек населения в возрасте</w:t>
      </w:r>
      <w:r>
        <w:rPr>
          <w:sz w:val="28"/>
          <w:szCs w:val="28"/>
          <w:lang w:val="kk-KZ"/>
        </w:rPr>
        <w:t xml:space="preserve">: мужчин</w:t>
      </w:r>
      <w:r w:rsidRPr="00BE189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от 16 до 63 лет и женщин </w:t>
      </w:r>
      <w:r w:rsidRPr="00BE189C">
        <w:rPr>
          <w:sz w:val="28"/>
          <w:szCs w:val="28"/>
          <w:lang w:val="kk-KZ"/>
        </w:rPr>
        <w:t xml:space="preserve">от 16 лет до </w:t>
      </w:r>
      <w:r>
        <w:rPr>
          <w:sz w:val="28"/>
          <w:szCs w:val="28"/>
          <w:lang w:val="kk-KZ"/>
        </w:rPr>
        <w:t xml:space="preserve">достижения пенсионного возраста</w:t>
      </w:r>
      <w:r w:rsidRPr="00BE189C">
        <w:rPr>
          <w:sz w:val="28"/>
          <w:szCs w:val="28"/>
          <w:lang w:val="kk-KZ"/>
        </w:rPr>
        <w:t xml:space="preserve">, определяемого в соответствии с возрастными границами, установленными Социальным кодексом</w:t>
      </w:r>
      <w:r>
        <w:rPr>
          <w:sz w:val="28"/>
          <w:szCs w:val="28"/>
          <w:lang w:val="kk-KZ"/>
        </w:rPr>
        <w:t xml:space="preserve"> Республики Казахстан</w:t>
      </w:r>
      <w:r w:rsidRPr="00BE189C">
        <w:rPr>
          <w:sz w:val="28"/>
          <w:szCs w:val="28"/>
          <w:lang w:val="kk-KZ"/>
        </w:rPr>
        <w:t xml:space="preserve">.</w:t>
      </w:r>
    </w:p>
    <w:p>
      <w:pPr>
        <w:pStyle w:val="Title"/>
        <w:suppressAutoHyphens/>
        <w:ind w:firstLine="708"/>
        <w:jc w:val="both"/>
        <w:rPr>
          <w:b/>
          <w:bCs/>
          <w:szCs w:val="28"/>
          <w:lang w:val="kk-KZ"/>
        </w:rPr>
      </w:pPr>
      <w:r w:rsidRPr="00DE4FB0">
        <w:rPr>
          <w:bCs/>
          <w:szCs w:val="28"/>
          <w:lang w:val="kk-KZ"/>
        </w:rPr>
        <w:t xml:space="preserve">Коэффициенты демографической нагрузки рассчитываются по следующим формулам:</w:t>
      </w:r>
    </w:p>
    <w:p>
      <w:pPr>
        <w:pStyle w:val="Title"/>
        <w:suppressAutoHyphens/>
        <w:jc w:val="both"/>
        <w:rPr>
          <w:b/>
          <w:bCs/>
          <w:szCs w:val="28"/>
          <w:lang w:val="kk-KZ"/>
        </w:rPr>
      </w:pPr>
      <m:oMathPara>
        <m:oMath>
          <m:sSub>
            <m:sSubPr>
              <m:ctrlPr>
                <w:rPr>
                  <w:rFonts w:hAnsi="Cambria Math" w:ascii="Cambria Math"/>
                  <w:bCs/>
                  <w:szCs w:val="28"/>
                  <w:lang w:val="kk-KZ"/>
                </w:rPr>
              </m:ctrlPr>
            </m:sSubPr>
            <m:e>
              <m:r>
                <w:rPr>
                  <w:rFonts w:hAnsi="Cambria Math" w:ascii="Cambria Math"/>
                  <w:szCs w:val="28"/>
                  <w:lang w:val="kk-KZ"/>
                </w:rPr>
                <m:t xml:space="preserve">k</m:t>
              </m:r>
              <m:ctrlPr/>
            </m:e>
            <m:sub>
              <m:r>
                <w:rPr>
                  <w:rFonts w:hAnsi="Cambria Math" w:ascii="Cambria Math"/>
                  <w:szCs w:val="28"/>
                  <w:lang w:val="kk-KZ"/>
                </w:rPr>
                <m:t xml:space="preserve">d </m:t>
              </m:r>
              <m:ctrlPr/>
            </m:sub>
          </m:sSub>
          <m:r>
            <w:rPr>
              <w:rFonts w:hAnsi="Cambria Math" w:ascii="Cambria Math"/>
              <w:szCs w:val="28"/>
              <w:lang w:val="kk-KZ"/>
            </w:rPr>
            <m:t xml:space="preserve">= </m:t>
          </m:r>
          <m:f>
            <m:fPr>
              <m:ctrlPr>
                <w:rPr>
                  <w:rFonts w:hAnsi="Cambria Math" w:ascii="Cambria Math"/>
                  <w:bCs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hAnsi="Cambria Math" w:ascii="Cambria Math"/>
                      <w:bCs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hAnsi="Cambria Math" w:ascii="Cambria Math"/>
                      <w:szCs w:val="28"/>
                      <w:lang w:val="kk-KZ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Cs w:val="28"/>
                      <w:lang w:val="kk-KZ"/>
                    </w:rPr>
                    <m:t xml:space="preserve">0-15</m:t>
                  </m:r>
                  <m:ctrlPr/>
                </m:sub>
              </m:sSub>
              <m:ctrlPr/>
            </m:num>
            <m:den>
              <m:sSub>
                <m:sSubPr>
                  <m:ctrlPr>
                    <w:rPr>
                      <w:rFonts w:hAnsi="Cambria Math" w:ascii="Cambria Math"/>
                      <w:bCs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hAnsi="Cambria Math" w:ascii="Cambria Math"/>
                      <w:szCs w:val="28"/>
                      <w:lang w:val="kk-KZ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Cs w:val="28"/>
                      <w:lang w:val="kk-KZ"/>
                    </w:rPr>
                    <m:t xml:space="preserve">16-62(а-1)</m:t>
                  </m:r>
                  <m:ctrlPr/>
                </m:sub>
              </m:sSub>
              <m:ctrlPr/>
            </m:den>
          </m:f>
          <m:r>
            <w:rPr>
              <w:rFonts w:hAnsi="Cambria Math" w:ascii="Cambria Math"/>
              <w:szCs w:val="28"/>
              <w:lang w:val="kk-KZ"/>
            </w:rPr>
            <m:t xml:space="preserve">х1000,</m:t>
          </m:r>
        </m:oMath>
      </m:oMathPara>
    </w:p>
    <w:p>
      <w:pPr>
        <w:pStyle w:val="Title"/>
        <w:suppressAutoHyphens/>
        <w:jc w:val="both"/>
        <w:rPr>
          <w:b/>
          <w:bCs/>
          <w:szCs w:val="28"/>
          <w:lang w:val="kk-KZ"/>
        </w:rPr>
      </w:pPr>
    </w:p>
    <w:p>
      <w:pPr>
        <w:pStyle w:val="BodyTextIndent"/>
        <w:rPr>
          <w:sz w:val="28"/>
          <w:szCs w:val="28"/>
        </w:rPr>
      </w:pPr>
      <m:oMathPara>
        <m:oMath>
          <m:sSub>
            <m:sSubPr>
              <m:ctrlPr>
                <w:rPr>
                  <w:rFonts w:hAnsi="Cambria Math" w:ascii="Cambria Math"/>
                  <w:sz w:val="28"/>
                  <w:szCs w:val="28"/>
                </w:rPr>
              </m:ctrlPr>
            </m:sSubPr>
            <m:e>
              <m:r>
                <w:rPr>
                  <w:rFonts w:hAnsi="Cambria Math" w:ascii="Cambria Math"/>
                  <w:sz w:val="28"/>
                  <w:szCs w:val="28"/>
                </w:rPr>
                <m:t xml:space="preserve">k</m:t>
              </m:r>
              <m:ctrlPr/>
            </m:e>
            <m:sub>
              <m:r>
                <w:rPr>
                  <w:rFonts w:hAnsi="Cambria Math" w:ascii="Cambria Math"/>
                  <w:sz w:val="28"/>
                  <w:szCs w:val="28"/>
                </w:rPr>
                <m:t xml:space="preserve">s </m:t>
              </m:r>
              <m:ctrlPr/>
            </m:sub>
          </m:sSub>
          <m:r>
            <w:rPr>
              <w:rFonts w:hAnsi="Cambria Math" w:asci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hAnsi="Cambria Math" w:asci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hAnsi="Cambria Math" w:asci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63</m:t>
                  </m:r>
                  <m:d>
                    <m:dPr>
                      <m:ctrlPr>
                        <w:rPr>
                          <w:rFonts w:hAnsi="Cambria Math" w:ascii="Cambria Math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hAnsi="Cambria Math" w:ascii="Cambria Math"/>
                          <w:sz w:val="28"/>
                          <w:szCs w:val="28"/>
                        </w:rPr>
                        <m:t xml:space="preserve">а</m:t>
                      </m:r>
                      <m:ctrlPr/>
                    </m:e>
                  </m:d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+</m:t>
                  </m:r>
                  <m:ctrlPr/>
                </m:sub>
              </m:sSub>
              <m:ctrlPr/>
            </m:num>
            <m:den>
              <m:sSub>
                <m:sSubPr>
                  <m:ctrlPr>
                    <w:rPr>
                      <w:rFonts w:hAnsi="Cambria Math" w:asci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16-62(а-1)</m:t>
                  </m:r>
                  <m:ctrlPr/>
                </m:sub>
              </m:sSub>
              <m:ctrlPr/>
            </m:den>
          </m:f>
          <m:r>
            <w:rPr>
              <w:rFonts w:hAnsi="Cambria Math" w:ascii="Cambria Math"/>
              <w:sz w:val="28"/>
              <w:szCs w:val="28"/>
            </w:rPr>
            <m:t xml:space="preserve">х1000,</m:t>
          </m:r>
        </m:oMath>
      </m:oMathPara>
    </w:p>
    <w:p>
      <w:pPr>
        <w:pStyle w:val="BodyTextIndent"/>
        <w:rPr>
          <w:sz w:val="28"/>
          <w:szCs w:val="28"/>
        </w:rPr>
      </w:pPr>
    </w:p>
    <w:p>
      <w:pPr>
        <w:pStyle w:val="BodyTextIndent"/>
        <w:rPr>
          <w:sz w:val="28"/>
          <w:szCs w:val="28"/>
        </w:rPr>
      </w:pPr>
      <m:oMathPara>
        <m:oMath>
          <m:sSub>
            <m:sSubPr>
              <m:ctrlPr>
                <w:rPr>
                  <w:rFonts w:hAnsi="Cambria Math" w:ascii="Cambria Math"/>
                  <w:sz w:val="28"/>
                  <w:szCs w:val="28"/>
                </w:rPr>
              </m:ctrlPr>
            </m:sSubPr>
            <m:e>
              <m:r>
                <w:rPr>
                  <w:rFonts w:hAnsi="Cambria Math" w:ascii="Cambria Math"/>
                  <w:sz w:val="28"/>
                  <w:szCs w:val="28"/>
                </w:rPr>
                <m:t xml:space="preserve">k</m:t>
              </m:r>
              <m:ctrlPr/>
            </m:e>
            <m:sub>
              <m:r>
                <w:rPr>
                  <w:rFonts w:hAnsi="Cambria Math" w:ascii="Cambria Math"/>
                  <w:sz w:val="28"/>
                  <w:szCs w:val="28"/>
                </w:rPr>
                <m:t xml:space="preserve">t </m:t>
              </m:r>
              <m:ctrlPr/>
            </m:sub>
          </m:sSub>
          <m:r>
            <w:rPr>
              <w:rFonts w:hAnsi="Cambria Math" w:asci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hAnsi="Cambria Math" w:asci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hAnsi="Cambria Math" w:ascii="Cambria Math"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hAnsi="Cambria Math" w:asci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hAnsi="Cambria Math" w:ascii="Cambria Math"/>
                          <w:sz w:val="28"/>
                          <w:szCs w:val="28"/>
                        </w:rPr>
                        <m:t xml:space="preserve">S</m:t>
                      </m:r>
                      <m:ctrlPr/>
                    </m:e>
                    <m:sub>
                      <m:r>
                        <w:rPr>
                          <w:rFonts w:hAnsi="Cambria Math" w:ascii="Cambria Math"/>
                          <w:sz w:val="28"/>
                          <w:szCs w:val="28"/>
                        </w:rPr>
                        <m:t xml:space="preserve">0-15</m:t>
                      </m:r>
                      <m:ctrlPr/>
                    </m:sub>
                  </m:sSub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+S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63</m:t>
                  </m:r>
                  <m:d>
                    <m:dPr>
                      <m:ctrlPr>
                        <w:rPr>
                          <w:rFonts w:hAnsi="Cambria Math" w:ascii="Cambria Math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hAnsi="Cambria Math" w:ascii="Cambria Math"/>
                          <w:sz w:val="28"/>
                          <w:szCs w:val="28"/>
                        </w:rPr>
                        <m:t xml:space="preserve">а</m:t>
                      </m:r>
                      <m:ctrlPr/>
                    </m:e>
                  </m:d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+</m:t>
                  </m:r>
                  <m:ctrlPr/>
                </m:sub>
              </m:sSub>
              <m:ctrlPr/>
            </m:num>
            <m:den>
              <m:sSub>
                <m:sSubPr>
                  <m:ctrlPr>
                    <w:rPr>
                      <w:rFonts w:hAnsi="Cambria Math" w:asci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</w:rPr>
                    <m:t xml:space="preserve">16-62(а-1)</m:t>
                  </m:r>
                  <m:ctrlPr/>
                </m:sub>
              </m:sSub>
              <m:ctrlPr/>
            </m:den>
          </m:f>
          <m:r>
            <w:rPr>
              <w:rFonts w:hAnsi="Cambria Math" w:ascii="Cambria Math"/>
              <w:sz w:val="28"/>
              <w:szCs w:val="28"/>
            </w:rPr>
            <m:t xml:space="preserve">х1000,</m:t>
          </m:r>
        </m:oMath>
      </m:oMathPara>
    </w:p>
    <w:p>
      <w:pPr>
        <w:pStyle w:val="Title"/>
        <w:suppressAutoHyphens/>
        <w:jc w:val="both"/>
        <w:rPr>
          <w:b/>
          <w:bCs/>
          <w:szCs w:val="28"/>
          <w:lang w:val="kk-KZ"/>
        </w:rPr>
      </w:pPr>
    </w:p>
    <w:p>
      <w:pPr>
        <w:pStyle w:val="Title"/>
        <w:suppressAutoHyphens/>
        <w:jc w:val="both"/>
        <w:rPr>
          <w:b/>
          <w:bCs/>
          <w:szCs w:val="28"/>
          <w:lang w:val="kk-KZ"/>
        </w:rPr>
      </w:pPr>
      <w:r w:rsidRPr="00DE4FB0">
        <w:rPr>
          <w:bCs/>
          <w:szCs w:val="28"/>
          <w:lang w:val="kk-KZ"/>
        </w:rPr>
        <w:t xml:space="preserve">где:</w:t>
      </w:r>
    </w:p>
    <w:p>
      <w:pPr>
        <w:pStyle w:val="Title"/>
        <w:suppressAutoHyphens/>
        <w:ind w:firstLine="709"/>
        <w:jc w:val="both"/>
        <w:rPr>
          <w:b/>
          <w:bCs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bCs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szCs w:val="28"/>
                <w:lang w:val="kk-KZ"/>
              </w:rPr>
              <m:t xml:space="preserve">k</m:t>
            </m:r>
            <m:ctrlPr/>
          </m:e>
          <m:sub>
            <m:r>
              <w:rPr>
                <w:rFonts w:hAnsi="Cambria Math" w:ascii="Cambria Math"/>
                <w:szCs w:val="28"/>
                <w:lang w:val="kk-KZ"/>
              </w:rPr>
              <m:t xml:space="preserve">d </m:t>
            </m:r>
            <m:ctrlPr/>
          </m:sub>
        </m:sSub>
      </m:oMath>
      <w:r w:rsidR="00306500" w:rsidRPr="00DE4FB0">
        <w:rPr>
          <w:bCs/>
          <w:szCs w:val="28"/>
          <w:lang w:val="kk-KZ"/>
        </w:rPr>
        <w:t xml:space="preserve">– коэффициент демографической нагрузки детьми;</w:t>
      </w:r>
    </w:p>
    <w:p>
      <w:pPr>
        <w:pStyle w:val="BodyTextIndent"/>
        <w:ind w:firstLine="709"/>
        <w:rPr>
          <w:sz w:val="28"/>
          <w:szCs w:val="28"/>
        </w:rPr>
      </w:pPr>
      <m:oMath>
        <m:sSub>
          <m:sSubPr>
            <m:ctrlPr>
              <w:rPr>
                <w:rFonts w:hAnsi="Cambria Math" w:ascii="Cambria Math"/>
                <w:sz w:val="28"/>
                <w:szCs w:val="28"/>
              </w:rPr>
            </m:ctrlPr>
          </m:sSubPr>
          <m:e>
            <m:r>
              <w:rPr>
                <w:rFonts w:hAnsi="Cambria Math" w:ascii="Cambria Math"/>
                <w:sz w:val="28"/>
                <w:szCs w:val="28"/>
              </w:rPr>
              <m:t xml:space="preserve">k</m:t>
            </m:r>
            <m:ctrlPr/>
          </m:e>
          <m:sub>
            <m:r>
              <w:rPr>
                <w:rFonts w:hAnsi="Cambria Math" w:ascii="Cambria Math"/>
                <w:sz w:val="28"/>
                <w:szCs w:val="28"/>
              </w:rPr>
              <m:t xml:space="preserve">s </m:t>
            </m:r>
            <m:ctrlPr/>
          </m:sub>
        </m:sSub>
      </m:oMath>
      <w:r w:rsidR="00306500" w:rsidRPr="00DE4FB0">
        <w:rPr>
          <w:sz w:val="28"/>
          <w:szCs w:val="28"/>
        </w:rPr>
        <w:t xml:space="preserve">– коэффициент демографической нагрузки лицами пенсионного возраста;</w:t>
      </w:r>
    </w:p>
    <w:p>
      <w:pPr>
        <w:pStyle w:val="BodyTextIndent"/>
        <w:ind w:firstLine="709"/>
        <w:rPr>
          <w:sz w:val="28"/>
          <w:szCs w:val="28"/>
          <w:lang w:val="ru-RU"/>
        </w:rPr>
      </w:pPr>
      <m:oMath>
        <m:sSub>
          <m:sSubPr>
            <m:ctrlPr>
              <w:rPr>
                <w:rFonts w:hAnsi="Cambria Math" w:ascii="Cambria Math"/>
                <w:sz w:val="28"/>
                <w:szCs w:val="28"/>
              </w:rPr>
            </m:ctrlPr>
          </m:sSubPr>
          <m:e>
            <m:r>
              <w:rPr>
                <w:rFonts w:hAnsi="Cambria Math" w:ascii="Cambria Math"/>
                <w:sz w:val="28"/>
                <w:szCs w:val="28"/>
              </w:rPr>
              <m:t xml:space="preserve">k</m:t>
            </m:r>
            <m:ctrlPr/>
          </m:e>
          <m:sub>
            <m:r>
              <w:rPr>
                <w:rFonts w:hAnsi="Cambria Math" w:ascii="Cambria Math"/>
                <w:sz w:val="28"/>
                <w:szCs w:val="28"/>
              </w:rPr>
              <m:t xml:space="preserve">t </m:t>
            </m:r>
            <m:ctrlPr/>
          </m:sub>
        </m:sSub>
      </m:oMath>
      <w:r w:rsidR="00306500" w:rsidRPr="00DE4FB0">
        <w:rPr>
          <w:sz w:val="28"/>
          <w:szCs w:val="28"/>
        </w:rPr>
        <w:t xml:space="preserve">– общий коэфф</w:t>
      </w:r>
      <w:r w:rsidR="00306500">
        <w:rPr>
          <w:sz w:val="28"/>
          <w:szCs w:val="28"/>
        </w:rPr>
        <w:t xml:space="preserve">ициент демографической нагрузки</w:t>
      </w:r>
      <w:r w:rsidR="00306500">
        <w:rPr>
          <w:sz w:val="28"/>
          <w:szCs w:val="28"/>
          <w:lang w:val="ru-RU"/>
        </w:rPr>
        <w:t xml:space="preserve">;</w:t>
      </w:r>
    </w:p>
    <w:p>
      <w:pPr>
        <w:pStyle w:val="Title"/>
        <w:suppressAutoHyphens/>
        <w:ind w:firstLine="709"/>
        <w:jc w:val="both"/>
        <w:rPr>
          <w:b/>
          <w:bCs/>
          <w:color w:val="000000"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bCs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szCs w:val="28"/>
                <w:lang w:val="kk-KZ"/>
              </w:rPr>
              <m:t xml:space="preserve">S</m:t>
            </m:r>
            <m:ctrlPr/>
          </m:e>
          <m:sub>
            <m:r>
              <w:rPr>
                <w:rFonts w:hAnsi="Cambria Math" w:ascii="Cambria Math"/>
                <w:szCs w:val="28"/>
                <w:lang w:val="kk-KZ"/>
              </w:rPr>
              <m:t xml:space="preserve">0-15</m:t>
            </m:r>
            <m:ctrlPr/>
          </m:sub>
        </m:sSub>
      </m:oMath>
      <w:r w:rsidR="00306500" w:rsidRPr="00DE4FB0">
        <w:rPr>
          <w:bCs/>
          <w:szCs w:val="28"/>
          <w:lang w:val="kk-KZ"/>
        </w:rPr>
        <w:t xml:space="preserve"> –численность детей в возрасте от 0 до 16 лет;</w:t>
      </w:r>
    </w:p>
    <w:p>
      <w:pPr>
        <w:pStyle w:val="Title"/>
        <w:suppressAutoHyphens/>
        <w:ind w:firstLine="709"/>
        <w:jc w:val="both"/>
        <w:rPr>
          <w:color w:val="000000"/>
          <w:szCs w:val="28"/>
        </w:rPr>
      </w:pPr>
      <w:r w:rsidRPr="00DE4FB0">
        <w:rPr>
          <w:bCs/>
          <w:color w:val="000000"/>
          <w:szCs w:val="28"/>
          <w:lang w:val="kk-KZ"/>
        </w:rPr>
        <w:t xml:space="preserve">а – </w:t>
      </w:r>
      <w:r w:rsidRPr="00DE4FB0">
        <w:rPr>
          <w:color w:val="000000"/>
          <w:szCs w:val="28"/>
          <w:lang w:val="kk-KZ"/>
        </w:rPr>
        <w:t xml:space="preserve">общеустановленный  возраст выхода на пенсию женщин в соответствии с Социальным Кодексом Республики Казахстан</w:t>
      </w:r>
      <w:r>
        <w:rPr>
          <w:color w:val="000000"/>
          <w:szCs w:val="28"/>
        </w:rPr>
        <w:t xml:space="preserve">;</w:t>
      </w:r>
    </w:p>
    <w:p>
      <w:pPr>
        <w:pStyle w:val="Title"/>
        <w:suppressAutoHyphens/>
        <w:ind w:firstLine="709"/>
        <w:jc w:val="both"/>
        <w:rPr>
          <w:color w:val="000000"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color w:val="000000"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color w:val="000000"/>
                <w:szCs w:val="28"/>
                <w:lang w:val="kk-KZ"/>
              </w:rPr>
              <m:t xml:space="preserve">S</m:t>
            </m:r>
            <m:ctrlPr/>
          </m:e>
          <m:sub>
            <m:r>
              <w:rPr>
                <w:rFonts w:hAnsi="Cambria Math" w:ascii="Cambria Math"/>
                <w:color w:val="000000"/>
                <w:szCs w:val="28"/>
                <w:lang w:val="kk-KZ"/>
              </w:rPr>
              <m:t xml:space="preserve">16-62(а-1)</m:t>
            </m:r>
            <m:ctrlPr/>
          </m:sub>
        </m:sSub>
      </m:oMath>
      <w:r w:rsidR="00306500" w:rsidRPr="00DE4FB0">
        <w:rPr>
          <w:color w:val="000000"/>
          <w:szCs w:val="28"/>
          <w:lang w:val="kk-KZ"/>
        </w:rPr>
        <w:t xml:space="preserve">– численность мужчин в возрасте от 16 до 63 лет и женщин  от </w:t>
      </w:r>
      <w:r>
        <w:rPr>
          <w:color w:val="000000"/>
          <w:szCs w:val="28"/>
          <w:lang w:val="kk-KZ"/>
        </w:rPr>
        <w:br/>
      </w:r>
      <w:r w:rsidR="00306500" w:rsidRPr="00DE4FB0">
        <w:rPr>
          <w:color w:val="000000"/>
          <w:szCs w:val="28"/>
          <w:lang w:val="kk-KZ"/>
        </w:rPr>
        <w:t xml:space="preserve">16 до </w:t>
      </w:r>
      <w:r w:rsidR="00306500" w:rsidRPr="0014608D">
        <w:rPr>
          <w:color w:val="000000"/>
          <w:szCs w:val="28"/>
          <w:lang w:val="kk-KZ"/>
        </w:rPr>
        <w:t xml:space="preserve">а</w:t>
      </w:r>
      <w:r w:rsidR="00306500" w:rsidRPr="00DE4FB0">
        <w:rPr>
          <w:color w:val="000000"/>
          <w:szCs w:val="28"/>
          <w:lang w:val="kk-KZ"/>
        </w:rPr>
        <w:t xml:space="preserve">-1 лет;</w:t>
      </w:r>
    </w:p>
    <w:p>
      <w:pPr>
        <w:pStyle w:val="Title"/>
        <w:suppressAutoHyphens/>
        <w:ind w:firstLine="708"/>
        <w:jc w:val="both"/>
        <w:rPr>
          <w:color w:val="000000"/>
          <w:szCs w:val="28"/>
          <w:lang w:val="kk-KZ"/>
        </w:rPr>
      </w:pPr>
      <w:r w:rsidRPr="0014608D">
        <w:rPr>
          <w:color w:val="000000"/>
          <w:szCs w:val="28"/>
          <w:lang w:val="kk-KZ"/>
        </w:rPr>
        <w:t xml:space="preserve">а-1 – возраст женщин, определяемый как общеустановленный возраст выхода на пенсию женщин в соответствии с Социальным Кодексом Республики Казахстан минус 1 год;</w:t>
      </w:r>
    </w:p>
    <w:p>
      <w:pPr>
        <w:ind w:firstLine="709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color w:val="000000"/>
                <w:sz w:val="28"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color w:val="000000"/>
                <w:sz w:val="28"/>
                <w:szCs w:val="28"/>
                <w:lang w:val="kk-KZ"/>
              </w:rPr>
              <m:t xml:space="preserve">S</m:t>
            </m:r>
            <m:ctrlPr/>
          </m:e>
          <m:sub>
            <m:r>
              <w:rPr>
                <w:rFonts w:hAnsi="Cambria Math" w:ascii="Cambria Math"/>
                <w:color w:val="000000"/>
                <w:sz w:val="28"/>
                <w:szCs w:val="28"/>
                <w:lang w:val="kk-KZ"/>
              </w:rPr>
              <m:t xml:space="preserve">63(а)+</m:t>
            </m:r>
            <m:ctrlPr/>
          </m:sub>
        </m:sSub>
      </m:oMath>
      <w:r w:rsidR="00306500" w:rsidRPr="00DE4FB0">
        <w:rPr>
          <w:color w:val="000000"/>
          <w:sz w:val="28"/>
          <w:szCs w:val="28"/>
          <w:lang w:val="kk-KZ"/>
        </w:rPr>
        <w:t xml:space="preserve"> – численность мужчин в возрасте от 63 лет и старше, женщин в возрасте от а лет и старше.</w:t>
      </w:r>
    </w:p>
    <w:p>
      <w:pPr>
        <w:ind w:firstLine="709"/>
        <w:jc w:val="both"/>
        <w:rPr>
          <w:sz w:val="28"/>
          <w:szCs w:val="28"/>
          <w:lang w:val="kk-KZ"/>
        </w:rPr>
      </w:pPr>
      <w:r w:rsidRPr="00DE4FB0">
        <w:rPr>
          <w:sz w:val="28"/>
          <w:szCs w:val="28"/>
          <w:lang w:val="kk-KZ"/>
        </w:rPr>
        <w:t xml:space="preserve">В последующие годы при расчете коэффициентов демографической нагрузки пенсионный возраст женщин учитывается в соответствии</w:t>
      </w:r>
      <w:r>
        <w:rPr>
          <w:sz w:val="28"/>
          <w:szCs w:val="28"/>
          <w:lang w:val="kk-KZ"/>
        </w:rPr>
        <w:t xml:space="preserve"> </w:t>
      </w:r>
      <w:r w:rsidRPr="00DE4FB0">
        <w:rPr>
          <w:sz w:val="28"/>
          <w:szCs w:val="28"/>
          <w:lang w:val="kk-KZ"/>
        </w:rPr>
        <w:t xml:space="preserve">с Социальным Кодексом Республики Казахстан.».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DE4FB0">
        <w:rPr>
          <w:sz w:val="28"/>
          <w:szCs w:val="28"/>
        </w:rPr>
        <w:t xml:space="preserve">2. Департаменту статистики населения совместно с Юридическим </w:t>
      </w:r>
      <w:r w:rsidR="00F306EB">
        <w:rPr>
          <w:sz w:val="28"/>
          <w:szCs w:val="28"/>
        </w:rPr>
        <w:t xml:space="preserve">д</w:t>
      </w:r>
      <w:r w:rsidRPr="00DE4FB0">
        <w:rPr>
          <w:sz w:val="28"/>
          <w:szCs w:val="28"/>
        </w:rPr>
        <w:t xml:space="preserve">епартаментом Бюро национальной статистики Агентства по стратегическому планированию и реформам Республики Казахстан обеспечить в установленном законодательством порядке: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DE4FB0">
        <w:rPr>
          <w:sz w:val="28"/>
          <w:szCs w:val="28"/>
        </w:rPr>
        <w:t xml:space="preserve">1) государственную регистрацию настоящего приказа в Министерстве юстиции Республики Казахстан;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DE4FB0">
        <w:rPr>
          <w:sz w:val="28"/>
          <w:szCs w:val="28"/>
        </w:rPr>
        <w:t xml:space="preserve">2) размещение настоящего приказа на </w:t>
      </w:r>
      <w:r w:rsidRPr="00DE4FB0">
        <w:rPr>
          <w:sz w:val="28"/>
          <w:szCs w:val="28"/>
        </w:rPr>
        <w:t xml:space="preserve">интернет-ресурсе</w:t>
      </w:r>
      <w:r w:rsidRPr="00DE4FB0">
        <w:rPr>
          <w:sz w:val="28"/>
          <w:szCs w:val="28"/>
        </w:rPr>
        <w:t xml:space="preserve"> Бюро национальной статистики Агентства по стратегическому планированию и реформам Республики Казахстан после его официального опубликования.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DE4FB0">
        <w:rPr>
          <w:sz w:val="28"/>
          <w:szCs w:val="28"/>
        </w:rPr>
        <w:t xml:space="preserve">3. Департаменту статистики населения Бюро национальной статистики Агентства по стратегическому планированию и реформам Республики Казахстан довести настоящий приказ до структурных и территориальных подразделений Бюро национальной статистики Агентства по стратегическому планированию и реформам Республики Казахстан для руководства и использования в работе.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DE4FB0">
        <w:rPr>
          <w:sz w:val="28"/>
          <w:szCs w:val="28"/>
        </w:rPr>
        <w:t xml:space="preserve">4. </w:t>
      </w:r>
      <w:r w:rsidRPr="00DE4FB0">
        <w:rPr>
          <w:sz w:val="28"/>
          <w:szCs w:val="28"/>
        </w:rPr>
        <w:t xml:space="preserve">Контроль за</w:t>
      </w:r>
      <w:r w:rsidRPr="00DE4FB0">
        <w:rPr>
          <w:sz w:val="28"/>
          <w:szCs w:val="28"/>
        </w:rPr>
        <w:t xml:space="preserve"> исполнением настоящего приказа возложить на курирующего заместителя Руководителя Бюро национальной статистики Агентства по стратегическому планированию и реформам Республики Казахстан.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</w:rPr>
      </w:pPr>
      <w:r w:rsidRPr="00DE4FB0">
        <w:rPr>
          <w:sz w:val="28"/>
          <w:szCs w:val="28"/>
        </w:rPr>
        <w:t xml:space="preserve">5. Настоящий приказ вводится в действие по истечении десяти календарных дней после дня его первого официального опубликования.</w:t>
      </w:r>
    </w:p>
    <w:p>
      <w:pPr>
        <w:rPr>
          <w:sz w:val="28"/>
          <w:szCs w:val="28"/>
          <w:lang w:val="kk-KZ"/>
        </w:rPr>
      </w:pPr>
    </w:p>
    <w:p>
      <w:pPr>
        <w:rPr>
          <w:sz w:val="28"/>
          <w:szCs w:val="28"/>
          <w:lang w:val="kk-KZ"/>
        </w:rPr>
      </w:pPr>
    </w:p>
    <w:tbl>
      <w:tblPr>
        <w:tblStyle w:val="TableGrid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8799B">
        <w:trPr/>
        <w:tc>
          <w:tcPr>
            <w:tcW w:type="dxa" w:w="3652"/>
            <w:hideMark/>
          </w:tcPr>
          <w:p>
            <w:pPr/>
            <w:r>
              <w:rPr>
                <w:b/>
                <w:sz w:val="28"/>
              </w:rPr>
              <w:t xml:space="preserve">Руководитель Бюро национальной статистики Агентства по стратегическому планированию и реформам Республики Казахстан</w:t>
            </w:r>
          </w:p>
        </w:tc>
        <w:tc>
          <w:tcPr>
            <w:tcW w:type="dxa" w:w="2126"/>
          </w:tcPr>
          <w:p>
            <w:pPr/>
          </w:p>
        </w:tc>
        <w:tc>
          <w:tcPr>
            <w:tcW w:type="dxa" w:w="3152"/>
            <w:hideMark/>
          </w:tcPr>
          <w:p>
            <w:pPr/>
            <w:r>
              <w:rPr>
                <w:b/>
                <w:sz w:val="28"/>
              </w:rPr>
              <w:t xml:space="preserve">М. Турлубаев</w:t>
            </w:r>
          </w:p>
        </w:tc>
      </w:tr>
    </w:tbl>
    <w:p>
      <w:pPr>
        <w:rPr/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Агентство по стратегическому планированию и реформам Республики Казахстан - Директор департамента Арманбек Кенесович Тлеубаев, 03.11.2025 15:26:18,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Лаура Канатовна Мерсалимова, 07.11.2025 10:41:35,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Бюро национальной статистики Агентства по стратегическому планированию и реформам Республики Казахстан - Руководитель Бюро национальной статистики Агентства по стратегическому планированию и реформам Республики Казахстан М. Турлубаев, 10.11.2025 12:05:11, положительный результат проверки ЭЦП</w:t>
      </w:r>
    </w:p>
    <w:sectPr w:rsidSect="00682F98">
      <w:headerReference w:type="even" r:id="rId6"/>
      <w:headerReference w:type="default" r:id="rId7"/>
      <w:headerReference w:type="first" r:id="rId8"/>
      <w:footerReference w:type="even" r:id="rId9"/>
      <w:footerReference w:type="default" r:id="rId10"/>
      <w:footerReference w:type="first" r:id="rId11"/>
      <w:footerReference w:type="first" r:id="rId18"/>
      <w:footerReference w:type="default" r:id="rId19"/>
      <w:pgSz w:orient="portrait" w:h="16838" w:w="11906"/>
      <w:pgMar w:gutter="0" w:footer="709" w:header="851" w:left="1418" w:bottom="1418" w:right="851" w:top="1418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10.11.2025.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10.11.2025.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Auto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rPr/>
    </w:pP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rPr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5" o:spid="PowerPlusWaterMarkObject18652" type="#_x0000_t136" style="height:79.19pt;margin-left:0;margin-top:0;mso-position-horizontal:center;mso-position-horizontal-relative:margin;mso-position-vertical:center;mso-position-vertical-relative:margin;position:absolute;rotation:315;width:565.93pt;z-index:-2147483648" o:allowincell="f" fillcolor="#808080" stroked="f">
          <v:fill opacity="0.5"/>
          <v:textpath style="font-family:&quot;Times New Roman&quot;;font-size:70pt" string="ДАМ 819650001"/>
          <w10:wrap anchorx="margin" anchory="margin"/>
        </v:shape>
      </w:pict>
    </w:r>
    <w:r>
      <w:rPr>
        <w:rStyle w:val="PageNumber"/>
      </w:rPr>
      <w:fldChar w:fldCharType="begin"/>
    </w:r>
    <w:r w:rsidR="00306500">
      <w:rPr>
        <w:rStyle w:val="PageNumber"/>
      </w:rPr>
      <w:instrText xml:space="preserve">PAGE </w:instrText>
    </w:r>
    <w:r>
      <w:fldChar w:fldCharType="separate"/>
    </w:r>
    <w:r>
      <w:fldChar w:fldCharType="end"/>
    </w:r>
  </w:p>
  <w:p>
    <w:pPr>
      <w:pStyle w:val="Header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6" o:spid="PowerPlusWaterMarkObject18654" type="#_x0000_t136" style="height:79.19pt;margin-left:0;margin-top:0;mso-position-horizontal:center;mso-position-horizontal-relative:margin;mso-position-vertical:center;mso-position-vertical-relative:margin;position:absolute;rotation:315;width:565.93pt;z-index:-2147483648" o:allowincell="f" fillcolor="#808080" stroked="f">
          <v:fill opacity="0.5"/>
          <v:textpath style="font-family:&quot;Times New Roman&quot;;font-size:70pt" string="ДАМ 819650001"/>
          <w10:wrap anchorx="margin" anchory="margin"/>
        </v:shape>
      </w:pict>
    </w:r>
    <w:r>
      <w:rPr>
        <w:rStyle w:val="PageNumber"/>
      </w:rPr>
      <w:fldChar w:fldCharType="begin"/>
    </w:r>
    <w:r w:rsidR="0030650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 xml:space="preserve">3</w:t>
    </w:r>
    <w:r>
      <w:rPr>
        <w:rStyle w:val="PageNumber"/>
      </w:rPr>
      <w:fldChar w:fldCharType="end"/>
    </w:r>
  </w:p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 xml:space="preserve">СТРАТЕГИЯЛЫҚ ЖОСПАРЛАУ ЖӘНЕ РЕФОРМАЛАР АГЕНТТІГІ</w:t>
          </w:r>
        </w:p>
        <w:p>
          <w:pPr>
            <w:spacing w:line="288" w:lineRule="auto"/>
            <w:ind w:right="-113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ҰЛТТЫҚ СТАТИСТИКА БЮРОСЫ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410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БЮРО НАЦИОНАЛЬНОЙ СТАТИСТИКИ АГЕНТСТВО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Б</w:t>
          </w:r>
          <w:r w:rsidRPr="0087566C">
            <w:rPr>
              <w:b/>
              <w:bCs/>
              <w:color w:val="3399FF"/>
              <w:sz w:val="22"/>
              <w:szCs w:val="22"/>
            </w:rPr>
            <w:t xml:space="preserve">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 xmlns:mc="http://schemas.openxmlformats.org/markup-compatibility/2006">
              <mc:Choice Requires="wps">
                <w:drawing>
                  <wp:anchor distT="0" distB="0" distL="114300" distR="114300" simplePos="0" relativeHeight="251656192" behindDoc="0" locked="0" layoutInCell="1" allowOverlap="1" hidden="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2411" name="Line 26" hidden="0"/>
                    <wp:cNvGraphicFramePr>
                      <a:graphicFrameLocks noChangeAspect="1"/>
                    </wp:cNvGraphicFramePr>
                    <a:graphic>
                      <a:graphicData uri="http://schemas.microsoft.com/office/word/2010/wordprocessingShape">
                        <wps:wsp>
                          <wps:cNvSpPr/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anchor="t" upright="1">
                            <a:noAutofit/>
                          </wps:bodyPr>
                        </wps:wsp>
                      </a:graphicData>
                    </a:graphic>
                    <wp14:sizeRelH xmlns:wp14="http://schemas.microsoft.com/office/word/2010/wordprocessingDrawing" relativeFrom="page">
                      <wp14:pctWidth>0</wp14:pctWidth>
                    </wp14:sizeRelH>
                    <wp14:sizeRelV xmlns:wp14="http://schemas.microsoft.com/office/word/2010/wordprocessingDrawing"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8655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6192" o:bwmode="auto" from="-309.95pt,5.55pt" to="194.9pt,5.55pt" strokecolor="#39f" strokeweight="1.25pt">
                    <v:stroke joinstyle="round"/>
                    <o:lock v:ext="edit" aspectratio="t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Header"/>
      <w:rPr>
        <w:color w:val="3A7298"/>
        <w:sz w:val="22"/>
        <w:szCs w:val="22"/>
        <w:lang w:val="kk-KZ"/>
      </w:rPr>
    </w:pPr>
    <w:r>
      <w:pict>
        <v:shape id="PowerPlusWaterMarkObject1027" o:spid="PowerPlusWaterMarkObject18657" type="#_x0000_t136" style="height:79.19pt;margin-left:0;margin-top:0;mso-position-horizontal:center;mso-position-horizontal-relative:margin;mso-position-vertical:center;mso-position-vertical-relative:margin;position:absolute;rotation:315;width:565.93pt;z-index:-2147483648" o:allowincell="f" fillcolor="#808080" stroked="f">
          <v:fill opacity="0.5"/>
          <v:textpath style="font-family:&quot;Times New Roman&quot;;font-size:70pt" string="ДАМ 819650001"/>
          <w10:wrap anchorx="margin" anchory="margin"/>
        </v:shape>
      </w:pict>
    </w:r>
  </w:p>
  <w:p>
    <w:pPr>
      <w:pStyle w:val="Header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28 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10 ноября 2025 года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abstractNum w:abstractNumId="6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 w:spelling="clean"/>
  <w:stylePaneFormatFilter w:val="3F01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4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paragraph" w:styleId="Heading2">
    <w:name w:val="Heading 2"/>
    <w:basedOn w:val="Normal"/>
    <w:next w:val="Normal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qFormat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link w:val="НазваниеЗнак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link w:val="БезинтервалаЗнак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aliases w:val="Зна,Знак Знак,Знак Знак1,Знак Знак1 Знак,Знак4,Знак4 Знак,Знак4 Знак Знак,Знак4 Знак Знак Знак Знак,Обычный (Web),Обычный (Web)1,Обычный (веб) Знак Знак Знак Знак1,Обычный (веб) Знак Знак1 Знак,Обычный (веб) Знак1,Обычный (веб) Знак1 Знак"/>
    <w:basedOn w:val="Normal"/>
    <w:link w:val="Обычный(веб)Знак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styleId="Footer">
    <w:name w:val="Footer"/>
    <w:basedOn w:val="Normal"/>
    <w:link w:val="НижнийколонтитулЗнак"/>
    <w:qFormat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alloonText">
    <w:name w:val="Balloon Text"/>
    <w:basedOn w:val="Normal"/>
    <w:link w:val="ТекствыноскиЗнак"/>
    <w:semiHidden/>
    <w:unhideWhenUsed/>
    <w:rsid w:val="00FF037A"/>
    <w:rPr>
      <w:rFonts w:ascii="Tahoma" w:hAnsi="Tahoma" w:cs="Tahoma"/>
      <w:sz w:val="16"/>
      <w:szCs w:val="16"/>
    </w:rPr>
  </w:style>
  <w:style w:type="character" w:customStyle="1" w:styleId="ТекствыноскиЗнак">
    <w:name w:val="Текст выноски Знак"/>
    <w:basedOn w:val="DefaultParagraphFont"/>
    <w:link w:val="BalloonText"/>
    <w:semiHidden/>
    <w:rsid w:val="00FF037A"/>
    <w:rPr>
      <w:rFonts w:ascii="Tahoma" w:hAnsi="Tahoma" w:cs="Tahoma"/>
      <w:sz w:val="16"/>
      <w:szCs w:val="16"/>
    </w:rPr>
  </w:style>
  <w:style w:type="character" w:customStyle="1" w:styleId="БезинтервалаЗнак">
    <w:name w:val="Без интервала Знак"/>
    <w:basedOn w:val="DefaultParagraphFont"/>
    <w:link w:val="NoSpacing"/>
    <w:rsid w:val="00FF037A"/>
    <w:rPr>
      <w:sz w:val="24"/>
      <w:szCs w:val="24"/>
    </w:rPr>
  </w:style>
  <w:style w:type="character" w:customStyle="1" w:styleId="Обычный(веб)Знак">
    <w:name w:val="Обычный (веб) Знак"/>
    <w:aliases w:val="Зна Знак,Знак Знак Знак1,Знак Знак1 Знак Знак,Знак Знак1 Знак1,Знак4 Знак Знак Знак,Знак4 Знак Знак Знак Знак Знак,Знак4 Знак Знак1,Знак4 Знак1,Обычный (Web) Знак,Обычный (Web)1 Знак,Обычный (веб) Знак Знак Знак Знак1 Знак"/>
    <w:link w:val="Normal(Web)"/>
    <w:uiPriority w:val="99"/>
    <w:locked/>
    <w:rsid w:val="00FF037A"/>
    <w:rPr>
      <w:sz w:val="24"/>
      <w:szCs w:val="24"/>
    </w:rPr>
  </w:style>
  <w:style w:type="character" w:customStyle="1" w:styleId="НазваниеЗнак">
    <w:name w:val="Название Знак"/>
    <w:link w:val="Title"/>
    <w:rsid w:val="00FF037A"/>
    <w:rPr>
      <w:sz w:val="28"/>
      <w:szCs w:val="24"/>
    </w:rPr>
  </w:style>
  <w:style w:type="character" w:customStyle="1" w:styleId="НазваниеЗнак1">
    <w:name w:val="Название Знак1"/>
    <w:basedOn w:val="DefaultParagraphFont"/>
    <w:uiPriority w:val="10"/>
    <w:rsid w:val="0014608D"/>
    <w:rPr>
      <w:rFonts w:ascii="Cambria" w:eastAsia="宋体" w:hAnsi="Cambria" w:asciiTheme="majorHAnsi" w:eastAsiaTheme="majorEastAsia" w:hAnsiTheme="majorHAnsi" w:cs="Times New Roman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footer" Target="footer2.xml"/>
    <Relationship Id="rId11" Type="http://schemas.openxmlformats.org/officeDocument/2006/relationships/footer" Target="footer3.xml"/>
    <Relationship Id="rId12" Type="http://schemas.openxmlformats.org/officeDocument/2006/relationships/theme" Target="theme/theme1.xml"/>
    <Relationship Id="rId13" Type="http://schemas.openxmlformats.org/officeDocument/2006/relationships/styles" Target="styles.xml"/>
    <Relationship Id="rId14" Type="http://schemas.openxmlformats.org/officeDocument/2006/relationships/webSettings" Target="webSettings.xml"/>
    <Relationship Id="rId15" Type="http://schemas.openxmlformats.org/officeDocument/2006/relationships/numbering" Target="numbering.xml"/>
    <Relationship Id="rId16" Type="http://schemas.openxmlformats.org/officeDocument/2006/relationships/fontTable" Target="fontTable.xml"/>
    <Relationship Id="rId17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hyperlink" Target="http://adilet.zan.kz/rus/docs/V1600013626#z1" TargetMode="External"/>
    <Relationship Id="rId6" Type="http://schemas.openxmlformats.org/officeDocument/2006/relationships/header" Target="header1.xml"/>
    <Relationship Id="rId7" Type="http://schemas.openxmlformats.org/officeDocument/2006/relationships/header" Target="header2.xml"/>
    <Relationship Id="rId8" Type="http://schemas.openxmlformats.org/officeDocument/2006/relationships/header" Target="header3.xml"/>
    <Relationship Id="rId9" Type="http://schemas.openxmlformats.org/officeDocument/2006/relationships/footer" Target="footer1.xml"/>
    <Relationship Id="rId18" Type="http://schemas.openxmlformats.org/officeDocument/2006/relationships/footer" Target="cover-footer.xml"/>
    <Relationship Id="rId19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2025-09-12T05:30:00Z</dcterms:created>
  <dc:creator>user</dc:creator>
  <lastModifiedBy>Айнура Досмухамбетова</lastModifiedBy>
  <lastPrinted>2025-10-01T12:25:00Z</lastPrinted>
  <dcterms:modified xsi:type="dcterms:W3CDTF">2025-10-30T13:27:00Z</dcterms:modified>
  <revision>14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3</Pages>
  <Words>745</Words>
  <Characters>4252</Characters>
  <Application>Microsoft Office Word</Application>
  <DocSecurity>0</DocSecurity>
  <Lines>35</Lines>
  <Paragraphs>9</Paragraphs>
  <ScaleCrop>false</ScaleCrop>
  <Company>АО НИТ</Company>
  <LinksUpToDate>false</LinksUpToDate>
  <CharactersWithSpaces>4988</CharactersWithSpaces>
  <SharedDoc>false</SharedDoc>
  <HyperlinksChanged>false</HyperlinksChanged>
  <AppVersion>14.0000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3</Pages>
  <Words>562</Words>
  <Characters>4425</Characters>
  <Application>Microsoft Office Word</Application>
  <DocSecurity>0</DocSecurity>
  <Lines>36</Lines>
  <Paragraphs>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4978</CharactersWithSpaces>
  <SharedDoc>false</SharedDoc>
  <HyperlinksChanged>false</HyperlinksChanged>
  <AppVersion>14.0000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2025-09-12T05:30:00Z</dcterms:created>
  <dc:creator>user</dc:creator>
  <lastModifiedBy>Айнура Досмухамбетова</lastModifiedBy>
  <lastPrinted>2025-10-01T12:25:00Z</lastPrinted>
  <dcterms:modified xsi:type="dcterms:W3CDTF">2025-10-16T10:10:00Z</dcterms:modified>
  <revision>12</revision>
  <dc:title>ЌАЗАЌСТАН</dc:title>
</core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FECD5B44-DA55-4BEA-B585-F88E5C1C761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3800C0B5-0C47-473D-9AEA-B8ACCDDFF74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1145</TotalTime>
  <Pages>3</Pages>
  <Words>745</Words>
  <Characters>4252</Characters>
  <Application>Microsoft Office Word</Application>
  <DocSecurity>0</DocSecurity>
  <Lines>35</Lines>
  <Paragraphs>9</Paragraphs>
  <Company>АО НИТ</Company>
  <CharactersWithSpaces>4988</CharactersWithSpaces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2025-09-12T05:30:00Z</dcterms:created>
  <dc:creator>user</dc:creator>
  <lastModifiedBy>Айнура Досмухамбетова</lastModifiedBy>
  <lastPrinted>2025-10-01T12:25:00Z</lastPrinted>
  <dcterms:modified xsi:type="dcterms:W3CDTF">2025-10-30T13:27:00Z</dcterms:modified>
  <revision>14</revision>
  <dc:title>ЌАЗАЌСТАН</dc:title>
</coreProperties>
</file>